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5BD" w:rsidRPr="00220F22" w:rsidRDefault="00220F22" w:rsidP="004A40EA">
      <w:pPr>
        <w:spacing w:after="0"/>
        <w:ind w:left="1304" w:firstLine="1304"/>
        <w:rPr>
          <w:rFonts w:ascii="Times New Roman" w:hAnsi="Times New Roman"/>
          <w:b/>
          <w:sz w:val="28"/>
          <w:szCs w:val="28"/>
        </w:rPr>
      </w:pPr>
      <w:r w:rsidRPr="00220F22">
        <w:rPr>
          <w:rFonts w:ascii="Times New Roman" w:hAnsi="Times New Roman"/>
          <w:b/>
          <w:sz w:val="28"/>
          <w:szCs w:val="28"/>
        </w:rPr>
        <w:t>Køb den til din nabo!</w:t>
      </w:r>
    </w:p>
    <w:p w:rsidR="000E35BD" w:rsidRDefault="000E35BD" w:rsidP="000E35BD">
      <w:pPr>
        <w:spacing w:after="0"/>
        <w:jc w:val="center"/>
        <w:rPr>
          <w:rFonts w:ascii="Times New Roman" w:hAnsi="Times New Roman"/>
          <w:i/>
          <w:iCs/>
          <w:sz w:val="28"/>
          <w:szCs w:val="28"/>
        </w:rPr>
      </w:pPr>
      <w:smartTag w:uri="urn:schemas-microsoft-com:office:smarttags" w:element="PersonName">
        <w:r>
          <w:rPr>
            <w:rFonts w:ascii="Times New Roman" w:hAnsi="Times New Roman"/>
            <w:b/>
            <w:bCs/>
            <w:color w:val="FF0000"/>
            <w:sz w:val="28"/>
            <w:szCs w:val="28"/>
          </w:rPr>
          <w:t>Jørgen Øllgaard</w:t>
        </w:r>
      </w:smartTag>
      <w:r>
        <w:rPr>
          <w:rFonts w:ascii="Times New Roman" w:hAnsi="Times New Roman"/>
          <w:b/>
          <w:bCs/>
          <w:color w:val="FF0000"/>
          <w:sz w:val="28"/>
          <w:szCs w:val="28"/>
        </w:rPr>
        <w:t>: ”Paradisvænget. Småborgeren og det småborgerlige”.</w:t>
      </w:r>
      <w:r>
        <w:rPr>
          <w:rFonts w:ascii="Times New Roman" w:hAnsi="Times New Roman"/>
          <w:color w:val="FF0000"/>
          <w:sz w:val="28"/>
          <w:szCs w:val="28"/>
        </w:rPr>
        <w:t xml:space="preserve"> </w:t>
      </w:r>
    </w:p>
    <w:p w:rsidR="000E35BD" w:rsidRDefault="000E35BD" w:rsidP="000E35BD">
      <w:pPr>
        <w:spacing w:after="0"/>
        <w:rPr>
          <w:rFonts w:ascii="Times New Roman" w:hAnsi="Times New Roman"/>
          <w:sz w:val="24"/>
          <w:szCs w:val="24"/>
        </w:rPr>
      </w:pPr>
    </w:p>
    <w:p w:rsidR="00486366" w:rsidRPr="00486366" w:rsidRDefault="00486366" w:rsidP="000E35BD">
      <w:pPr>
        <w:spacing w:after="0"/>
        <w:rPr>
          <w:rFonts w:ascii="Times New Roman" w:hAnsi="Times New Roman"/>
          <w:b/>
          <w:i/>
          <w:sz w:val="28"/>
          <w:szCs w:val="28"/>
        </w:rPr>
      </w:pPr>
      <w:r w:rsidRPr="00486366">
        <w:rPr>
          <w:rFonts w:ascii="Times New Roman" w:hAnsi="Times New Roman"/>
          <w:b/>
          <w:i/>
          <w:sz w:val="28"/>
          <w:szCs w:val="28"/>
        </w:rPr>
        <w:t xml:space="preserve">Om bogen: </w:t>
      </w:r>
    </w:p>
    <w:p w:rsidR="00237C09" w:rsidRDefault="000E35BD" w:rsidP="000E35BD">
      <w:pPr>
        <w:spacing w:after="0"/>
        <w:rPr>
          <w:rFonts w:ascii="Times New Roman" w:hAnsi="Times New Roman"/>
          <w:sz w:val="24"/>
          <w:szCs w:val="24"/>
        </w:rPr>
      </w:pPr>
      <w:r>
        <w:rPr>
          <w:rFonts w:ascii="Times New Roman" w:hAnsi="Times New Roman"/>
          <w:sz w:val="24"/>
          <w:szCs w:val="24"/>
        </w:rPr>
        <w:t>Småborgerlig er et skældsord, som bruges om personer, der er præget af snæversyn og smålighed, og som lever i overensstemmelse med konventionelle værdier. Bogen udreder, hvor den klassiske småborger og småborgerlighed i tidsrummet 1850</w:t>
      </w:r>
      <w:r w:rsidR="00D30057">
        <w:rPr>
          <w:rFonts w:ascii="Times New Roman" w:hAnsi="Times New Roman"/>
          <w:sz w:val="24"/>
          <w:szCs w:val="24"/>
        </w:rPr>
        <w:t xml:space="preserve">-1960 stammer fra. </w:t>
      </w:r>
    </w:p>
    <w:p w:rsidR="000E35BD" w:rsidRPr="00237C09" w:rsidRDefault="00237C09" w:rsidP="000E35BD">
      <w:pPr>
        <w:spacing w:after="0"/>
        <w:rPr>
          <w:rFonts w:ascii="Times New Roman" w:hAnsi="Times New Roman"/>
          <w:bCs/>
          <w:sz w:val="24"/>
          <w:szCs w:val="24"/>
        </w:rPr>
      </w:pPr>
      <w:r>
        <w:rPr>
          <w:rFonts w:ascii="Times New Roman" w:hAnsi="Times New Roman"/>
          <w:sz w:val="24"/>
          <w:szCs w:val="24"/>
        </w:rPr>
        <w:t xml:space="preserve"> </w:t>
      </w:r>
      <w:r w:rsidR="00D30057">
        <w:rPr>
          <w:rFonts w:ascii="Times New Roman" w:hAnsi="Times New Roman"/>
          <w:sz w:val="24"/>
          <w:szCs w:val="24"/>
        </w:rPr>
        <w:t xml:space="preserve">Og så </w:t>
      </w:r>
      <w:r w:rsidR="000E35BD">
        <w:rPr>
          <w:rFonts w:ascii="Times New Roman" w:hAnsi="Times New Roman"/>
          <w:sz w:val="24"/>
          <w:szCs w:val="24"/>
        </w:rPr>
        <w:t xml:space="preserve">gives der en </w:t>
      </w:r>
      <w:r w:rsidR="000E35BD" w:rsidRPr="00486366">
        <w:rPr>
          <w:rFonts w:ascii="Times New Roman" w:hAnsi="Times New Roman"/>
          <w:sz w:val="24"/>
          <w:szCs w:val="24"/>
        </w:rPr>
        <w:t>samtidsdiagnose</w:t>
      </w:r>
      <w:r w:rsidR="000E35BD">
        <w:rPr>
          <w:rFonts w:ascii="Times New Roman" w:hAnsi="Times New Roman"/>
          <w:sz w:val="24"/>
          <w:szCs w:val="24"/>
        </w:rPr>
        <w:t xml:space="preserve"> på den moderne småborger i tiden 1960-2011. Det handler især om parcelhusejeren på Par</w:t>
      </w:r>
      <w:r w:rsidR="00D30057">
        <w:rPr>
          <w:rFonts w:ascii="Times New Roman" w:hAnsi="Times New Roman"/>
          <w:sz w:val="24"/>
          <w:szCs w:val="24"/>
        </w:rPr>
        <w:t>a</w:t>
      </w:r>
      <w:r w:rsidR="000E35BD">
        <w:rPr>
          <w:rFonts w:ascii="Times New Roman" w:hAnsi="Times New Roman"/>
          <w:sz w:val="24"/>
          <w:szCs w:val="24"/>
        </w:rPr>
        <w:t xml:space="preserve">disvænget, hvis liv og prioriteringer groft sagt er præget af de materielle interesser. For ham betyder værdipolitik ikke så meget. Det gør derimod forsvaret af hans selveje og af, at pengene bliver i hans egne lommer. </w:t>
      </w:r>
      <w:r w:rsidR="000E35BD" w:rsidRPr="00237C09">
        <w:rPr>
          <w:rFonts w:ascii="Times New Roman" w:hAnsi="Times New Roman"/>
          <w:bCs/>
          <w:sz w:val="24"/>
          <w:szCs w:val="24"/>
        </w:rPr>
        <w:t>En vælgerundersøgelse fortæller således, at to ud af tre vælgere i parcelhusene st</w:t>
      </w:r>
      <w:r w:rsidR="00842544" w:rsidRPr="00237C09">
        <w:rPr>
          <w:rFonts w:ascii="Times New Roman" w:hAnsi="Times New Roman"/>
          <w:bCs/>
          <w:sz w:val="24"/>
          <w:szCs w:val="24"/>
        </w:rPr>
        <w:t xml:space="preserve">emmer på de borgerlige partier. Det skyldes, at de blå opfattes som det bedste værn mod forringelse af deres økonomiske standarder eller privilegier, fx større boligskatter. </w:t>
      </w:r>
    </w:p>
    <w:p w:rsidR="000E35BD" w:rsidRDefault="000E35BD" w:rsidP="000E35BD">
      <w:pPr>
        <w:spacing w:after="0"/>
        <w:rPr>
          <w:rFonts w:ascii="Times New Roman" w:hAnsi="Times New Roman"/>
          <w:sz w:val="24"/>
          <w:szCs w:val="24"/>
        </w:rPr>
      </w:pPr>
      <w:r>
        <w:rPr>
          <w:rFonts w:ascii="Times New Roman" w:hAnsi="Times New Roman"/>
          <w:sz w:val="24"/>
          <w:szCs w:val="24"/>
        </w:rPr>
        <w:t xml:space="preserve"> Men ikke kun det politiske er præget af den materielle småborgerlighed. </w:t>
      </w:r>
      <w:r w:rsidR="00842544">
        <w:rPr>
          <w:rFonts w:ascii="Times New Roman" w:hAnsi="Times New Roman"/>
          <w:sz w:val="24"/>
          <w:szCs w:val="24"/>
        </w:rPr>
        <w:t xml:space="preserve">Bogen fortæller også, hvordan </w:t>
      </w:r>
      <w:r>
        <w:rPr>
          <w:rFonts w:ascii="Times New Roman" w:hAnsi="Times New Roman"/>
          <w:sz w:val="24"/>
          <w:szCs w:val="24"/>
        </w:rPr>
        <w:t xml:space="preserve">hverdagslivet i familien og </w:t>
      </w:r>
      <w:r w:rsidR="00842544">
        <w:rPr>
          <w:rFonts w:ascii="Times New Roman" w:hAnsi="Times New Roman"/>
          <w:sz w:val="24"/>
          <w:szCs w:val="24"/>
        </w:rPr>
        <w:t xml:space="preserve">i </w:t>
      </w:r>
      <w:r>
        <w:rPr>
          <w:rFonts w:ascii="Times New Roman" w:hAnsi="Times New Roman"/>
          <w:sz w:val="24"/>
          <w:szCs w:val="24"/>
        </w:rPr>
        <w:t xml:space="preserve">forbrugskulturen </w:t>
      </w:r>
      <w:r w:rsidR="00842544">
        <w:rPr>
          <w:rFonts w:ascii="Times New Roman" w:hAnsi="Times New Roman"/>
          <w:sz w:val="24"/>
          <w:szCs w:val="24"/>
        </w:rPr>
        <w:t>er præget af materielle interesser</w:t>
      </w:r>
      <w:r w:rsidR="00237C09">
        <w:rPr>
          <w:rFonts w:ascii="Times New Roman" w:hAnsi="Times New Roman"/>
          <w:sz w:val="24"/>
          <w:szCs w:val="24"/>
        </w:rPr>
        <w:t xml:space="preserve"> hos</w:t>
      </w:r>
      <w:r w:rsidR="00F60794">
        <w:rPr>
          <w:rFonts w:ascii="Times New Roman" w:hAnsi="Times New Roman"/>
          <w:sz w:val="24"/>
          <w:szCs w:val="24"/>
        </w:rPr>
        <w:t xml:space="preserve"> den danske ”middelklasse”</w:t>
      </w:r>
      <w:r w:rsidR="00842544">
        <w:rPr>
          <w:rFonts w:ascii="Times New Roman" w:hAnsi="Times New Roman"/>
          <w:sz w:val="24"/>
          <w:szCs w:val="24"/>
        </w:rPr>
        <w:t xml:space="preserve">. </w:t>
      </w:r>
      <w:r>
        <w:rPr>
          <w:rFonts w:ascii="Times New Roman" w:hAnsi="Times New Roman"/>
          <w:sz w:val="24"/>
          <w:szCs w:val="24"/>
        </w:rPr>
        <w:t xml:space="preserve"> </w:t>
      </w:r>
    </w:p>
    <w:p w:rsidR="000E35BD" w:rsidRDefault="000E35BD" w:rsidP="000E35BD">
      <w:pPr>
        <w:spacing w:after="0"/>
        <w:rPr>
          <w:rFonts w:ascii="Times New Roman" w:hAnsi="Times New Roman"/>
          <w:b/>
          <w:bCs/>
          <w:sz w:val="24"/>
          <w:szCs w:val="24"/>
        </w:rPr>
      </w:pPr>
      <w:r>
        <w:rPr>
          <w:rFonts w:ascii="Times New Roman" w:hAnsi="Times New Roman"/>
          <w:b/>
          <w:bCs/>
          <w:sz w:val="24"/>
          <w:szCs w:val="24"/>
        </w:rPr>
        <w:t> </w:t>
      </w:r>
    </w:p>
    <w:p w:rsidR="000E35BD" w:rsidRPr="00486366" w:rsidRDefault="000E35BD" w:rsidP="000E35BD">
      <w:pPr>
        <w:spacing w:after="0"/>
        <w:rPr>
          <w:rFonts w:ascii="Times New Roman" w:hAnsi="Times New Roman"/>
          <w:b/>
          <w:i/>
          <w:sz w:val="28"/>
          <w:szCs w:val="28"/>
        </w:rPr>
      </w:pPr>
      <w:r w:rsidRPr="00486366">
        <w:rPr>
          <w:rFonts w:ascii="Times New Roman" w:hAnsi="Times New Roman"/>
          <w:b/>
          <w:i/>
          <w:sz w:val="28"/>
          <w:szCs w:val="28"/>
        </w:rPr>
        <w:t xml:space="preserve">I bogen får du </w:t>
      </w:r>
      <w:r w:rsidR="00533604">
        <w:rPr>
          <w:rFonts w:ascii="Times New Roman" w:hAnsi="Times New Roman"/>
          <w:b/>
          <w:i/>
          <w:sz w:val="28"/>
          <w:szCs w:val="28"/>
        </w:rPr>
        <w:t xml:space="preserve">bl.a. </w:t>
      </w:r>
      <w:r w:rsidRPr="00486366">
        <w:rPr>
          <w:rFonts w:ascii="Times New Roman" w:hAnsi="Times New Roman"/>
          <w:b/>
          <w:i/>
          <w:sz w:val="28"/>
          <w:szCs w:val="28"/>
        </w:rPr>
        <w:t>svar på</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Anders Fogh Rasmussen sagde, at vi ikke behøver ”eksperter og smagsdommere”.</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Hvordan </w:t>
      </w:r>
      <w:proofErr w:type="spellStart"/>
      <w:r w:rsidR="000E35BD">
        <w:rPr>
          <w:rFonts w:ascii="Times New Roman" w:hAnsi="Times New Roman"/>
          <w:sz w:val="24"/>
          <w:szCs w:val="24"/>
        </w:rPr>
        <w:t>mediedarling</w:t>
      </w:r>
      <w:r w:rsidR="00533604">
        <w:rPr>
          <w:rFonts w:ascii="Times New Roman" w:hAnsi="Times New Roman"/>
          <w:sz w:val="24"/>
          <w:szCs w:val="24"/>
        </w:rPr>
        <w:t>s</w:t>
      </w:r>
      <w:proofErr w:type="spellEnd"/>
      <w:r w:rsidR="000E35BD">
        <w:rPr>
          <w:rFonts w:ascii="Times New Roman" w:hAnsi="Times New Roman"/>
          <w:sz w:val="24"/>
          <w:szCs w:val="24"/>
        </w:rPr>
        <w:t xml:space="preserve"> som </w:t>
      </w:r>
      <w:proofErr w:type="spellStart"/>
      <w:r w:rsidR="000E35BD">
        <w:rPr>
          <w:rFonts w:ascii="Times New Roman" w:hAnsi="Times New Roman"/>
          <w:sz w:val="24"/>
          <w:szCs w:val="24"/>
        </w:rPr>
        <w:t>Ralf</w:t>
      </w:r>
      <w:proofErr w:type="spellEnd"/>
      <w:r w:rsidR="000E35BD">
        <w:rPr>
          <w:rFonts w:ascii="Times New Roman" w:hAnsi="Times New Roman"/>
          <w:sz w:val="24"/>
          <w:szCs w:val="24"/>
        </w:rPr>
        <w:t xml:space="preserve"> </w:t>
      </w:r>
      <w:proofErr w:type="spellStart"/>
      <w:r w:rsidR="000E35BD">
        <w:rPr>
          <w:rFonts w:ascii="Times New Roman" w:hAnsi="Times New Roman"/>
          <w:sz w:val="24"/>
          <w:szCs w:val="24"/>
        </w:rPr>
        <w:t>Pittelkow</w:t>
      </w:r>
      <w:proofErr w:type="spellEnd"/>
      <w:r w:rsidR="000E35BD">
        <w:rPr>
          <w:rFonts w:ascii="Times New Roman" w:hAnsi="Times New Roman"/>
          <w:sz w:val="24"/>
          <w:szCs w:val="24"/>
        </w:rPr>
        <w:t>, Henrik Dahl og Rune Lykkeberg foregiver, at livet og politik er et frit valg, og at samfunds-klasser ikke (længere) findes.</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S/SF er så bange for at beskatte boligejerne, på trods af formueskel til lejerne.</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det er tabu blandt samfundsforskere at hævde, at man ikke kommer hinanden ret meget ved i parcelhuskvarterne.</w:t>
      </w:r>
    </w:p>
    <w:p w:rsidR="003A6396" w:rsidRDefault="00F60794" w:rsidP="000E35BD">
      <w:pPr>
        <w:spacing w:after="0"/>
        <w:rPr>
          <w:rFonts w:ascii="Times New Roman" w:hAnsi="Times New Roman"/>
          <w:sz w:val="24"/>
          <w:szCs w:val="24"/>
        </w:rPr>
      </w:pPr>
      <w:r>
        <w:rPr>
          <w:rFonts w:ascii="Times New Roman" w:hAnsi="Times New Roman"/>
          <w:sz w:val="24"/>
          <w:szCs w:val="24"/>
        </w:rPr>
        <w:t>=</w:t>
      </w:r>
      <w:r w:rsidR="003A6396">
        <w:rPr>
          <w:rFonts w:ascii="Times New Roman" w:hAnsi="Times New Roman"/>
          <w:sz w:val="24"/>
          <w:szCs w:val="24"/>
        </w:rPr>
        <w:t xml:space="preserve"> Hvorfor kritiske arkitekter har </w:t>
      </w:r>
      <w:r w:rsidR="00D30057">
        <w:rPr>
          <w:rFonts w:ascii="Times New Roman" w:hAnsi="Times New Roman"/>
          <w:sz w:val="24"/>
          <w:szCs w:val="24"/>
        </w:rPr>
        <w:t>så ringe gennemslag på ideer om</w:t>
      </w:r>
      <w:r w:rsidR="003A6396">
        <w:rPr>
          <w:rFonts w:ascii="Times New Roman" w:hAnsi="Times New Roman"/>
          <w:sz w:val="24"/>
          <w:szCs w:val="24"/>
        </w:rPr>
        <w:t xml:space="preserve"> alternativer til parcelhuset og parcelhuskvarteret. </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Hvordan </w:t>
      </w:r>
      <w:proofErr w:type="spellStart"/>
      <w:r w:rsidR="000E35BD">
        <w:rPr>
          <w:rFonts w:ascii="Times New Roman" w:hAnsi="Times New Roman"/>
          <w:sz w:val="24"/>
          <w:szCs w:val="24"/>
        </w:rPr>
        <w:t>parcelhusboere</w:t>
      </w:r>
      <w:proofErr w:type="spellEnd"/>
      <w:r w:rsidR="000E35BD">
        <w:rPr>
          <w:rFonts w:ascii="Times New Roman" w:hAnsi="Times New Roman"/>
          <w:sz w:val="24"/>
          <w:szCs w:val="24"/>
        </w:rPr>
        <w:t xml:space="preserve"> har et udestueperspektiv, hvor beboernes blik på omverdenen ikke går længere end til græsplænen, carporten med bilen og måske et lille kig ud på villavejen.</w:t>
      </w:r>
    </w:p>
    <w:p w:rsidR="00D30057" w:rsidRDefault="00F60794" w:rsidP="00D30057">
      <w:pPr>
        <w:spacing w:after="0"/>
        <w:rPr>
          <w:rFonts w:ascii="Times New Roman" w:hAnsi="Times New Roman"/>
          <w:sz w:val="24"/>
          <w:szCs w:val="24"/>
        </w:rPr>
      </w:pPr>
      <w:r>
        <w:rPr>
          <w:rFonts w:ascii="Times New Roman" w:hAnsi="Times New Roman"/>
          <w:sz w:val="24"/>
          <w:szCs w:val="24"/>
        </w:rPr>
        <w:t>=</w:t>
      </w:r>
      <w:r w:rsidR="00D30057">
        <w:rPr>
          <w:rFonts w:ascii="Times New Roman" w:hAnsi="Times New Roman"/>
          <w:sz w:val="24"/>
          <w:szCs w:val="24"/>
        </w:rPr>
        <w:t xml:space="preserve"> Hvordan småborgeren er en ivrig forbruger og hvordan forbrug understøtter og bekræfter og forstærker den småborgerlige livsform (og samfundets vækstideologi).</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udtrykket ”ligusterfascist” egentlig er meget rammende, selv om den moderne småborger selvfølgelig ikke er fascist i politisk forstand.</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den danske ”hygge” er småborgerligt samvær.</w:t>
      </w:r>
    </w:p>
    <w:p w:rsidR="000E35BD" w:rsidRDefault="00F60794"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kvinder er mere småborgerlige end mænd – måske?</w:t>
      </w:r>
    </w:p>
    <w:p w:rsidR="000E35BD" w:rsidRDefault="00CE7179" w:rsidP="000E35BD">
      <w:pPr>
        <w:spacing w:after="0"/>
        <w:rPr>
          <w:rFonts w:ascii="Times New Roman" w:hAnsi="Times New Roman"/>
          <w:sz w:val="24"/>
          <w:szCs w:val="24"/>
        </w:rPr>
      </w:pPr>
      <w:r>
        <w:rPr>
          <w:rFonts w:ascii="Times New Roman" w:hAnsi="Times New Roman"/>
          <w:sz w:val="24"/>
          <w:szCs w:val="24"/>
        </w:rPr>
        <w:t>=</w:t>
      </w:r>
      <w:r w:rsidR="000E35BD">
        <w:rPr>
          <w:rFonts w:ascii="Times New Roman" w:hAnsi="Times New Roman"/>
          <w:sz w:val="24"/>
          <w:szCs w:val="24"/>
        </w:rPr>
        <w:t xml:space="preserve"> Hvorfor danskerne er verdens lykkeligste folk.</w:t>
      </w:r>
    </w:p>
    <w:p w:rsidR="00A63CBC" w:rsidRPr="00486366" w:rsidRDefault="000E35BD" w:rsidP="00486366">
      <w:pPr>
        <w:spacing w:after="0"/>
        <w:rPr>
          <w:rFonts w:ascii="Times New Roman" w:hAnsi="Times New Roman"/>
          <w:sz w:val="24"/>
          <w:szCs w:val="24"/>
        </w:rPr>
      </w:pPr>
      <w:r>
        <w:rPr>
          <w:rFonts w:ascii="Times New Roman" w:hAnsi="Times New Roman"/>
          <w:sz w:val="24"/>
          <w:szCs w:val="24"/>
        </w:rPr>
        <w:t>  </w:t>
      </w:r>
      <w:r w:rsidR="00486366">
        <w:rPr>
          <w:rFonts w:ascii="Times New Roman" w:hAnsi="Times New Roman"/>
          <w:sz w:val="24"/>
          <w:szCs w:val="24"/>
        </w:rPr>
        <w:t>        </w:t>
      </w:r>
      <w:r>
        <w:rPr>
          <w:rFonts w:ascii="Times New Roman" w:hAnsi="Times New Roman"/>
          <w:sz w:val="24"/>
          <w:szCs w:val="24"/>
        </w:rPr>
        <w:t xml:space="preserve">                          </w:t>
      </w:r>
      <w:r w:rsidR="00486366">
        <w:rPr>
          <w:rFonts w:ascii="Times New Roman" w:hAnsi="Times New Roman"/>
          <w:sz w:val="24"/>
          <w:szCs w:val="24"/>
        </w:rPr>
        <w:tab/>
      </w:r>
      <w:r w:rsidR="00237C09" w:rsidRPr="00220F22">
        <w:rPr>
          <w:rFonts w:ascii="Bauhaus 93" w:hAnsi="Bauhaus 93"/>
          <w:sz w:val="24"/>
          <w:szCs w:val="24"/>
        </w:rPr>
        <w:t xml:space="preserve">Om forfatteren: Jørgen Øllgaard, sociolog &amp; journalist </w:t>
      </w:r>
    </w:p>
    <w:p w:rsidR="00486366" w:rsidRDefault="00486366" w:rsidP="00635208">
      <w:pPr>
        <w:autoSpaceDE w:val="0"/>
        <w:autoSpaceDN w:val="0"/>
        <w:adjustRightInd w:val="0"/>
        <w:spacing w:after="0" w:line="240" w:lineRule="auto"/>
        <w:rPr>
          <w:rFonts w:ascii="Caecilia-Bold" w:hAnsi="Caecilia-Bold" w:cs="Caecilia-Bold"/>
          <w:b/>
          <w:bCs/>
          <w:color w:val="880000"/>
          <w:sz w:val="28"/>
          <w:szCs w:val="28"/>
          <w:lang w:eastAsia="en-US"/>
        </w:rPr>
      </w:pPr>
    </w:p>
    <w:p w:rsidR="00635208" w:rsidRDefault="00220F22" w:rsidP="00635208">
      <w:pPr>
        <w:autoSpaceDE w:val="0"/>
        <w:autoSpaceDN w:val="0"/>
        <w:adjustRightInd w:val="0"/>
        <w:spacing w:after="0" w:line="240" w:lineRule="auto"/>
        <w:rPr>
          <w:rFonts w:ascii="Caecilia-Bold" w:hAnsi="Caecilia-Bold" w:cs="Caecilia-Bold"/>
          <w:b/>
          <w:bCs/>
          <w:color w:val="880000"/>
          <w:sz w:val="28"/>
          <w:szCs w:val="28"/>
          <w:lang w:eastAsia="en-US"/>
        </w:rPr>
      </w:pPr>
      <w:r>
        <w:rPr>
          <w:rFonts w:ascii="Caecilia-Bold" w:hAnsi="Caecilia-Bold" w:cs="Caecilia-Bold"/>
          <w:b/>
          <w:bCs/>
          <w:color w:val="880000"/>
          <w:sz w:val="28"/>
          <w:szCs w:val="28"/>
          <w:lang w:eastAsia="en-US"/>
        </w:rPr>
        <w:t>INFO s</w:t>
      </w:r>
      <w:r w:rsidR="00635208" w:rsidRPr="00635208">
        <w:rPr>
          <w:rFonts w:ascii="Caecilia-Bold" w:hAnsi="Caecilia-Bold" w:cs="Caecilia-Bold"/>
          <w:b/>
          <w:bCs/>
          <w:color w:val="880000"/>
          <w:sz w:val="28"/>
          <w:szCs w:val="28"/>
          <w:lang w:eastAsia="en-US"/>
        </w:rPr>
        <w:t xml:space="preserve">e </w:t>
      </w:r>
      <w:proofErr w:type="spellStart"/>
      <w:r>
        <w:rPr>
          <w:rFonts w:ascii="Caecilia-Bold" w:hAnsi="Caecilia-Bold" w:cs="Caecilia-Bold"/>
          <w:b/>
          <w:bCs/>
          <w:color w:val="880000"/>
          <w:sz w:val="28"/>
          <w:szCs w:val="28"/>
          <w:lang w:eastAsia="en-US"/>
        </w:rPr>
        <w:t>jorgen-ollgaard.dk/smaaborgeren</w:t>
      </w:r>
      <w:proofErr w:type="spellEnd"/>
    </w:p>
    <w:p w:rsidR="00220F22" w:rsidRDefault="00220F22" w:rsidP="00635208">
      <w:pPr>
        <w:autoSpaceDE w:val="0"/>
        <w:autoSpaceDN w:val="0"/>
        <w:adjustRightInd w:val="0"/>
        <w:spacing w:after="0" w:line="240" w:lineRule="auto"/>
        <w:rPr>
          <w:rFonts w:ascii="Caecilia-Bold" w:hAnsi="Caecilia-Bold" w:cs="Caecilia-Bold"/>
          <w:b/>
          <w:bCs/>
          <w:color w:val="880000"/>
          <w:sz w:val="28"/>
          <w:szCs w:val="28"/>
          <w:lang w:eastAsia="en-US"/>
        </w:rPr>
      </w:pPr>
    </w:p>
    <w:p w:rsidR="00635208" w:rsidRPr="00635208" w:rsidRDefault="00220F22" w:rsidP="00635208">
      <w:pPr>
        <w:autoSpaceDE w:val="0"/>
        <w:autoSpaceDN w:val="0"/>
        <w:adjustRightInd w:val="0"/>
        <w:spacing w:after="0" w:line="240" w:lineRule="auto"/>
        <w:rPr>
          <w:rFonts w:ascii="Caecilia-Bold" w:hAnsi="Caecilia-Bold" w:cs="Caecilia-Bold"/>
          <w:b/>
          <w:bCs/>
          <w:color w:val="880000"/>
          <w:sz w:val="28"/>
          <w:szCs w:val="28"/>
          <w:lang w:eastAsia="en-US"/>
        </w:rPr>
      </w:pPr>
      <w:r>
        <w:rPr>
          <w:rFonts w:ascii="Caecilia-Bold" w:hAnsi="Caecilia-Bold" w:cs="Caecilia-Bold"/>
          <w:b/>
          <w:bCs/>
          <w:color w:val="880000"/>
          <w:sz w:val="28"/>
          <w:szCs w:val="28"/>
          <w:lang w:eastAsia="en-US"/>
        </w:rPr>
        <w:t>KØB den</w:t>
      </w:r>
      <w:r w:rsidR="00533604">
        <w:rPr>
          <w:rFonts w:ascii="Caecilia-Bold" w:hAnsi="Caecilia-Bold" w:cs="Caecilia-Bold"/>
          <w:b/>
          <w:bCs/>
          <w:color w:val="880000"/>
          <w:sz w:val="28"/>
          <w:szCs w:val="28"/>
          <w:lang w:eastAsia="en-US"/>
        </w:rPr>
        <w:t xml:space="preserve"> for kun 199 kr. </w:t>
      </w:r>
      <w:r w:rsidR="00486366">
        <w:rPr>
          <w:rFonts w:ascii="Caecilia-Bold" w:hAnsi="Caecilia-Bold" w:cs="Caecilia-Bold"/>
          <w:b/>
          <w:bCs/>
          <w:color w:val="880000"/>
          <w:sz w:val="28"/>
          <w:szCs w:val="28"/>
          <w:lang w:eastAsia="en-US"/>
        </w:rPr>
        <w:t xml:space="preserve">via </w:t>
      </w:r>
      <w:r w:rsidR="00635208">
        <w:rPr>
          <w:rFonts w:ascii="Caecilia-Bold" w:hAnsi="Caecilia-Bold" w:cs="Caecilia-Bold"/>
          <w:b/>
          <w:bCs/>
          <w:color w:val="880000"/>
          <w:sz w:val="28"/>
          <w:szCs w:val="28"/>
          <w:lang w:eastAsia="en-US"/>
        </w:rPr>
        <w:t xml:space="preserve">www. </w:t>
      </w:r>
      <w:hyperlink r:id="rId4" w:history="1">
        <w:r w:rsidR="00635208" w:rsidRPr="006F49F0">
          <w:rPr>
            <w:rStyle w:val="Hyperlink"/>
            <w:rFonts w:ascii="Caecilia-Bold" w:hAnsi="Caecilia-Bold" w:cs="Caecilia-Bold"/>
            <w:b/>
            <w:bCs/>
            <w:sz w:val="28"/>
            <w:szCs w:val="28"/>
            <w:lang w:eastAsia="en-US"/>
          </w:rPr>
          <w:t>www.frydenlund.dk</w:t>
        </w:r>
      </w:hyperlink>
      <w:r w:rsidR="00635208">
        <w:rPr>
          <w:rFonts w:ascii="Caecilia-Bold" w:hAnsi="Caecilia-Bold" w:cs="Caecilia-Bold"/>
          <w:b/>
          <w:bCs/>
          <w:color w:val="880000"/>
          <w:sz w:val="28"/>
          <w:szCs w:val="28"/>
          <w:lang w:eastAsia="en-US"/>
        </w:rPr>
        <w:t xml:space="preserve">  </w:t>
      </w:r>
      <w:r>
        <w:rPr>
          <w:rFonts w:ascii="Caecilia-Bold" w:hAnsi="Caecilia-Bold" w:cs="Caecilia-Bold"/>
          <w:b/>
          <w:bCs/>
          <w:color w:val="880000"/>
          <w:sz w:val="28"/>
          <w:szCs w:val="28"/>
          <w:lang w:eastAsia="en-US"/>
        </w:rPr>
        <w:t>(</w:t>
      </w:r>
      <w:proofErr w:type="spellStart"/>
      <w:r>
        <w:rPr>
          <w:rFonts w:ascii="Caecilia-Bold" w:hAnsi="Caecilia-Bold" w:cs="Caecilia-Bold"/>
          <w:b/>
          <w:bCs/>
          <w:color w:val="880000"/>
          <w:sz w:val="28"/>
          <w:szCs w:val="28"/>
          <w:lang w:eastAsia="en-US"/>
        </w:rPr>
        <w:t>tel</w:t>
      </w:r>
      <w:proofErr w:type="spellEnd"/>
      <w:r>
        <w:rPr>
          <w:rFonts w:ascii="Caecilia-Bold" w:hAnsi="Caecilia-Bold" w:cs="Caecilia-Bold"/>
          <w:b/>
          <w:bCs/>
          <w:color w:val="880000"/>
          <w:sz w:val="28"/>
          <w:szCs w:val="28"/>
          <w:lang w:eastAsia="en-US"/>
        </w:rPr>
        <w:t xml:space="preserve">. </w:t>
      </w:r>
      <w:r w:rsidR="00486366">
        <w:rPr>
          <w:rFonts w:ascii="Caecilia-Bold" w:hAnsi="Caecilia-Bold" w:cs="Caecilia-Bold"/>
          <w:b/>
          <w:bCs/>
          <w:color w:val="880000"/>
          <w:sz w:val="28"/>
          <w:szCs w:val="28"/>
          <w:lang w:eastAsia="en-US"/>
        </w:rPr>
        <w:t>3318.8136)</w:t>
      </w:r>
    </w:p>
    <w:sectPr w:rsidR="00635208" w:rsidRPr="00635208" w:rsidSect="00A63CB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ecil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E35BD"/>
    <w:rsid w:val="000E35BD"/>
    <w:rsid w:val="00220F22"/>
    <w:rsid w:val="00237C09"/>
    <w:rsid w:val="003A6396"/>
    <w:rsid w:val="003D3736"/>
    <w:rsid w:val="00486366"/>
    <w:rsid w:val="004A40EA"/>
    <w:rsid w:val="00533604"/>
    <w:rsid w:val="00635208"/>
    <w:rsid w:val="007A0081"/>
    <w:rsid w:val="007A0899"/>
    <w:rsid w:val="00842544"/>
    <w:rsid w:val="00A63CBC"/>
    <w:rsid w:val="00C25C80"/>
    <w:rsid w:val="00CE7179"/>
    <w:rsid w:val="00D10D7D"/>
    <w:rsid w:val="00D30057"/>
    <w:rsid w:val="00DB329B"/>
    <w:rsid w:val="00DF14BE"/>
    <w:rsid w:val="00F6079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BD"/>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352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433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ydenlu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2307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Øllgaard</dc:creator>
  <cp:keywords/>
  <dc:description/>
  <cp:lastModifiedBy>Jørgen Øllgaard</cp:lastModifiedBy>
  <cp:revision>2</cp:revision>
  <dcterms:created xsi:type="dcterms:W3CDTF">2011-09-14T12:58:00Z</dcterms:created>
  <dcterms:modified xsi:type="dcterms:W3CDTF">2011-09-14T12:58:00Z</dcterms:modified>
</cp:coreProperties>
</file>